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337</w:t>
      </w:r>
    </w:p>
    <w:p>
      <w:r>
        <w:t>Bundesgericht (BGE), 1999-08-12, DE</w:t>
      </w:r>
    </w:p>
    <w:p>
      <w:r>
        <w:rPr>
          <w:b/>
        </w:rPr>
        <w:t xml:space="preserve">Quelle: </w:t>
      </w:r>
      <w:r>
        <w:t>https://mcp.opencaselaw.ch/entscheid/bge_125 III 337</w:t>
      </w:r>
    </w:p>
    <w:p>
      <w:r>
        <w:t>FR: ATF 125 III 337</w:t>
      </w:r>
    </w:p>
    <w:p>
      <w:r>
        <w:t>IT: DTF 125 III 337</w:t>
      </w:r>
    </w:p>
    <w:p>
      <w:pPr>
        <w:pStyle w:val="Heading2"/>
      </w:pPr>
      <w:r>
        <w:t>Regeste</w:t>
      </w:r>
    </w:p>
    <w:p>
      <w:r>
        <w:t>Regeste Art. 149 SchKG. Die Ausstellung eines Verlustscheines, ohne dass eine Pfändung und Verwertung durchgeführt wurde, ist nichtig.</w:t>
      </w:r>
    </w:p>
    <w:p>
      <w:pPr>
        <w:pStyle w:val="Heading2"/>
      </w:pPr>
      <w:r>
        <w:t>Erwägungen</w:t>
      </w:r>
    </w:p>
    <w:p>
      <w:r>
        <w:rPr>
          <w:b/>
        </w:rPr>
        <w:t>E. 2</w:t>
      </w:r>
    </w:p>
    <w:p>
      <w:r>
        <w:t>a) In der dem Bundesgericht eingereichten Beschwerde erklärt K., sie habe im kantonalen Verfahren «nicht gegen den Verlustschein Beschwerde eingereicht, sondern gegen die Betreibung und erneuten Rechtsvorschlag in der Betreibungssache eingereicht». b) Die Behauptung der Beschwerdeführerin, sich beim Kantonsgerichtsausschuss nicht über den Verlustschein beschwert zu haben, ist zutreffend. Sie hat in ihrer der Vorinstanz eingereichten Beschwerde vom 24. Juni 1999 nur ihrer Befürchtung Ausdruck gegeben, dass ein Verlustschein ausgestellt werden könnte. Hat aber die Schuldnerin im kantonalen Verfahren nicht Beschwerde gegen die Ausstellung des Verlustscheins geführt, so kann diesbezüglich auf ihre Beschwerde - die im Übrigen den Anforderungen, welche Art. 79 Abs. 1 OG an die Begründung einer Beschwerde stellt, nicht genügt - nicht eingetreten werden.</w:t>
      </w:r>
    </w:p>
    <w:p>
      <w:r>
        <w:rPr>
          <w:b/>
        </w:rPr>
        <w:t>E. 3</w:t>
      </w:r>
    </w:p>
    <w:p>
      <w:r>
        <w:t>a) Den Akten lässt sich entnehmen, dass die Stadtverwaltung B. das Betreibungsamt B. mit Schreiben vom 4. Juni 1999 um Ausstellung eines Verlustscheines ersucht hat mit der Begründung, es sei «praktisch kein Vermögen mehr vorhanden». Durch Ausstellung des Verlustscheines hat das Betreibungsamt am 7. Juni 1999 diesem Ersuchen entsprochen. Eine Pfändungsurkunde findet sich nicht bei den Akten. b) Aus dieser Sach- und Aktenlage muss der Schluss gezogen werden, dass der Verlustschein (in welchem die volle Forderung der Stadtkasse zuzüglich Kosten als ungedeckt gebliebener Betrag bezeichnet wird) ohne Durchführung der Pfändung und Verwertung ausgestellt worden ist. Darin liegt eine Verletzung von Art. 149 SchKG dergestalt, dass die Ausstellung des Verlustscheins als nichtig zu betrachten ist (vgl. BGE 80 III 141 E. 1). Die Schuldbetreibungs- und Konkurskammer des Bundesgerichts stellt die Nichtigkeit der betreibungsamtlichen Verfügung von Amtes wegen fest ( Art. 22 Abs. 1 SchKG ; HANS ULRICH WALDER, Beschwerdeverfahren, Abgrenzung kantonales Recht/Bundesrecht, Fristen, Nichtige Verfügungen, in ZSR 115/1996 I, S. 202, lit. c). Daran ist sie durch den Abschluss der Betreibung nicht gehindert ( BGE 73 III 23 E. 3, BGE 72 III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